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B45A8">
      <w:pPr>
        <w:pStyle w:val="af3"/>
        <w:ind w:firstLine="5387"/>
        <w:jc w:val="both"/>
      </w:pPr>
      <w:r>
        <w:rPr>
          <w:sz w:val="28"/>
          <w:szCs w:val="28"/>
          <w:lang w:val="uk-UA"/>
        </w:rPr>
        <w:t>Додаток 6</w:t>
      </w:r>
    </w:p>
    <w:p w:rsidR="00000000" w:rsidRDefault="00DB45A8">
      <w:pPr>
        <w:pStyle w:val="af3"/>
        <w:ind w:firstLine="5387"/>
        <w:jc w:val="both"/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000000" w:rsidRDefault="00DB45A8">
      <w:pPr>
        <w:pStyle w:val="af3"/>
        <w:ind w:firstLine="5387"/>
        <w:jc w:val="both"/>
      </w:pPr>
      <w:r>
        <w:rPr>
          <w:sz w:val="28"/>
          <w:szCs w:val="28"/>
          <w:lang w:val="uk-UA"/>
        </w:rPr>
        <w:t>_</w:t>
      </w:r>
      <w:r w:rsidRPr="00DB45A8">
        <w:rPr>
          <w:sz w:val="28"/>
          <w:szCs w:val="28"/>
          <w:u w:val="single"/>
          <w:lang w:val="uk-UA"/>
        </w:rPr>
        <w:t>19.10.2022</w:t>
      </w:r>
      <w:r>
        <w:rPr>
          <w:sz w:val="28"/>
          <w:szCs w:val="28"/>
          <w:lang w:val="uk-UA"/>
        </w:rPr>
        <w:t>____ № _</w:t>
      </w:r>
      <w:r w:rsidRPr="00DB45A8">
        <w:rPr>
          <w:sz w:val="28"/>
          <w:szCs w:val="28"/>
          <w:u w:val="single"/>
          <w:lang w:val="uk-UA"/>
        </w:rPr>
        <w:t>44-ра</w:t>
      </w:r>
      <w:r>
        <w:rPr>
          <w:sz w:val="28"/>
          <w:szCs w:val="28"/>
          <w:lang w:val="uk-UA"/>
        </w:rPr>
        <w:t>_______</w:t>
      </w:r>
    </w:p>
    <w:p w:rsidR="00000000" w:rsidRDefault="00DB45A8">
      <w:pPr>
        <w:pStyle w:val="af3"/>
        <w:jc w:val="both"/>
        <w:rPr>
          <w:sz w:val="28"/>
          <w:szCs w:val="28"/>
          <w:lang w:val="uk-UA"/>
        </w:rPr>
      </w:pPr>
    </w:p>
    <w:p w:rsidR="00000000" w:rsidRDefault="00DB45A8">
      <w:pPr>
        <w:pStyle w:val="af3"/>
        <w:jc w:val="both"/>
        <w:rPr>
          <w:sz w:val="28"/>
          <w:szCs w:val="28"/>
          <w:lang w:val="uk-UA"/>
        </w:rPr>
      </w:pPr>
    </w:p>
    <w:p w:rsidR="00000000" w:rsidRDefault="00DB45A8">
      <w:pPr>
        <w:pStyle w:val="af3"/>
        <w:jc w:val="center"/>
      </w:pPr>
      <w:r>
        <w:rPr>
          <w:b/>
          <w:sz w:val="28"/>
          <w:szCs w:val="28"/>
          <w:lang w:val="uk-UA"/>
        </w:rPr>
        <w:t>ПО</w:t>
      </w:r>
      <w:bookmarkStart w:id="0" w:name="_GoBack"/>
      <w:bookmarkEnd w:id="0"/>
      <w:r>
        <w:rPr>
          <w:b/>
          <w:sz w:val="28"/>
          <w:szCs w:val="28"/>
          <w:lang w:val="uk-UA"/>
        </w:rPr>
        <w:t>ЛОЖЕННЯ</w:t>
      </w:r>
    </w:p>
    <w:p w:rsidR="00000000" w:rsidRDefault="00DB45A8">
      <w:pPr>
        <w:pStyle w:val="af3"/>
        <w:jc w:val="center"/>
      </w:pPr>
      <w:r>
        <w:rPr>
          <w:b/>
          <w:sz w:val="28"/>
          <w:szCs w:val="28"/>
          <w:lang w:val="uk-UA"/>
        </w:rPr>
        <w:t xml:space="preserve">про сектор верифікації відділу прийому  громадян </w:t>
      </w:r>
    </w:p>
    <w:p w:rsidR="00000000" w:rsidRDefault="00DB45A8">
      <w:pPr>
        <w:pStyle w:val="af3"/>
        <w:jc w:val="center"/>
      </w:pPr>
      <w:r>
        <w:rPr>
          <w:b/>
          <w:sz w:val="28"/>
          <w:szCs w:val="28"/>
          <w:lang w:val="uk-UA"/>
        </w:rPr>
        <w:t>департаменту соціальної політики Луцької міської ради</w:t>
      </w:r>
    </w:p>
    <w:p w:rsidR="00000000" w:rsidRDefault="00DB45A8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Pr="00DB45A8" w:rsidRDefault="00DB45A8">
      <w:pPr>
        <w:pStyle w:val="af3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000000" w:rsidRDefault="00DB45A8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Pr="00DB45A8" w:rsidRDefault="00DB45A8">
      <w:pPr>
        <w:pStyle w:val="af3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1.1. Сектор верифікації  (далі – Сектор)  є </w:t>
      </w:r>
      <w:r>
        <w:rPr>
          <w:sz w:val="28"/>
          <w:szCs w:val="28"/>
          <w:lang w:val="uk-UA"/>
        </w:rPr>
        <w:t>структурним підрозділом відділу прийому громадян департаменту соціальної політики Луцької міської ради (далі – Департамент).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1.2. Сектор підконтрольний і підзвітний  начальнику відділу прийому громадян.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1.3. У своїй діяльності Сектор керується Конституцією</w:t>
      </w:r>
      <w:r>
        <w:rPr>
          <w:sz w:val="28"/>
          <w:szCs w:val="28"/>
          <w:lang w:val="uk-UA"/>
        </w:rPr>
        <w:t xml:space="preserve"> та законами України, постановами Верховної Ради України,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постановами і розпорядженнями Кабінету Міністрів України, актами Президента України, рішеннями Луцької міської ради і виконавчого комітету, розпорядженнями міського голови, наказами директора Департ</w:t>
      </w:r>
      <w:r>
        <w:rPr>
          <w:sz w:val="28"/>
          <w:szCs w:val="28"/>
          <w:lang w:val="uk-UA"/>
        </w:rPr>
        <w:t xml:space="preserve">аменту, іншими нормативними актами,  Інструкцією з діловодства, Положеннями  про відділ обслуговування громадян та департамент соціальної політики Луцької міської ради та даним Положенням. 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1.4. Положення про Сектор затверджується розпорядженням міського г</w:t>
      </w:r>
      <w:r>
        <w:rPr>
          <w:sz w:val="28"/>
          <w:szCs w:val="28"/>
          <w:lang w:val="uk-UA"/>
        </w:rPr>
        <w:t>олови.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 xml:space="preserve">1.5. </w:t>
      </w:r>
      <w:r>
        <w:rPr>
          <w:rStyle w:val="FontStyle11"/>
          <w:rFonts w:eastAsia="Times New Roman"/>
          <w:spacing w:val="0"/>
          <w:sz w:val="28"/>
          <w:szCs w:val="28"/>
          <w:lang w:val="uk-UA"/>
        </w:rPr>
        <w:t>На посади завідувача Сектору та працівників Сектору призначаються особи, що мають відповідну освіту, стаж, знання та вміння, необхідні для роботи в органах місцевого самоврядування згідно з чинним законодавством.</w:t>
      </w:r>
      <w:r>
        <w:rPr>
          <w:sz w:val="28"/>
          <w:szCs w:val="28"/>
          <w:lang w:val="uk-UA"/>
        </w:rPr>
        <w:t xml:space="preserve"> Усі працівники Сектору  признач</w:t>
      </w:r>
      <w:r>
        <w:rPr>
          <w:sz w:val="28"/>
          <w:szCs w:val="28"/>
          <w:lang w:val="uk-UA"/>
        </w:rPr>
        <w:t xml:space="preserve">аються на посаду та звільняються з посади міським головою.  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1.6. Департамент створює умови для нормальної роботи та підвищення кваліфікації працівників Сектору, забезпечує їх приміщенням, телефонним зв’язком, сучасними засобами оргтехніки, транспортом для</w:t>
      </w:r>
      <w:r>
        <w:rPr>
          <w:sz w:val="28"/>
          <w:szCs w:val="28"/>
          <w:lang w:val="uk-UA"/>
        </w:rPr>
        <w:t xml:space="preserve"> виконання службових обов'язків. </w:t>
      </w:r>
    </w:p>
    <w:p w:rsidR="00000000" w:rsidRDefault="00DB45A8">
      <w:pPr>
        <w:pStyle w:val="af3"/>
        <w:ind w:firstLine="567"/>
        <w:jc w:val="both"/>
        <w:rPr>
          <w:sz w:val="28"/>
          <w:szCs w:val="28"/>
          <w:highlight w:val="yellow"/>
          <w:lang w:val="uk-UA"/>
        </w:rPr>
      </w:pPr>
    </w:p>
    <w:p w:rsidR="00000000" w:rsidRDefault="00DB45A8">
      <w:pPr>
        <w:pStyle w:val="af3"/>
        <w:jc w:val="center"/>
      </w:pPr>
      <w:r>
        <w:rPr>
          <w:b/>
          <w:sz w:val="28"/>
          <w:szCs w:val="28"/>
          <w:lang w:val="uk-UA"/>
        </w:rPr>
        <w:t>ІІ. МЕТА ТА ЗАВДАННЯ</w:t>
      </w:r>
    </w:p>
    <w:p w:rsidR="00000000" w:rsidRDefault="00DB45A8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2.1. На виконання Закону України «Про верифікацію та моніторинг державних виплат» здійснювати превентивну верифікацію, що здійснюється в</w:t>
      </w:r>
    </w:p>
    <w:p w:rsidR="00000000" w:rsidRDefault="00DB45A8">
      <w:pPr>
        <w:pStyle w:val="af3"/>
        <w:jc w:val="both"/>
      </w:pPr>
      <w:r>
        <w:rPr>
          <w:sz w:val="28"/>
          <w:szCs w:val="28"/>
          <w:lang w:val="uk-UA"/>
        </w:rPr>
        <w:t>режимі реального часу під час звернення фізичних осіб за призн</w:t>
      </w:r>
      <w:r>
        <w:rPr>
          <w:sz w:val="28"/>
          <w:szCs w:val="28"/>
          <w:lang w:val="uk-UA"/>
        </w:rPr>
        <w:t>аченням державних виплат, опрацьовувати рекомендації наданих Мінфіном та вносити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результати опрацювання в програмно-технологічний комплекс «Обробка результатів верифікації».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2.2.  Завданнями Сектору  є: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формувати запит в інформаційно-аналітичну платформу н</w:t>
      </w:r>
      <w:r>
        <w:rPr>
          <w:sz w:val="28"/>
          <w:szCs w:val="28"/>
          <w:lang w:val="uk-UA"/>
        </w:rPr>
        <w:t>а відповідність повідомленої реципієнтом інформації даним, що обробляється стосовно нього в інформаційно-аналітичній платформі, та в режимі реального часу отримує підтвердження відповідності наданої реципієнтом інформації вимогам законодавства, що впливают</w:t>
      </w:r>
      <w:r>
        <w:rPr>
          <w:sz w:val="28"/>
          <w:szCs w:val="28"/>
          <w:lang w:val="uk-UA"/>
        </w:rPr>
        <w:t>ь на визначення його права на отримання та розмір державних виплат, або рекомендацій щодо проведення додаткових перевірок  інформації, що містить невідповідність.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проводити додаткові перевірки інформації, наданої реципієнтами під час звернення за державним</w:t>
      </w:r>
      <w:r>
        <w:rPr>
          <w:sz w:val="28"/>
          <w:szCs w:val="28"/>
          <w:lang w:val="uk-UA"/>
        </w:rPr>
        <w:t>и виплатами та опрацювання рекомендацій, наданий органом, що здійснює верифікацію та моніторинг державних виплат.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надсилати запити для отримання інформації, що впливає на право реципієнта на отримання державних виплат.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вносити результати опрацювання в прог</w:t>
      </w:r>
      <w:r>
        <w:rPr>
          <w:sz w:val="28"/>
          <w:szCs w:val="28"/>
          <w:lang w:val="uk-UA"/>
        </w:rPr>
        <w:t>рамно-технологічний комплекс «Обробка результатів верифікації».</w:t>
      </w:r>
    </w:p>
    <w:p w:rsidR="00000000" w:rsidRDefault="00DB45A8">
      <w:pPr>
        <w:pStyle w:val="af3"/>
        <w:ind w:firstLine="567"/>
        <w:jc w:val="both"/>
      </w:pPr>
      <w:r>
        <w:rPr>
          <w:rFonts w:eastAsia="Times New Roman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кладати акти за підсумками опрацювання рекомендацій та додаткових перевірок з висновками щодо правильності призначення державних соціальних допомог.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усунення розбіжностей даних у автоматизова</w:t>
      </w:r>
      <w:r>
        <w:rPr>
          <w:sz w:val="28"/>
          <w:szCs w:val="28"/>
          <w:lang w:val="uk-UA"/>
        </w:rPr>
        <w:t>них інформаційних системах, реєстрах, базах даних, володільцем та/або адміністратором яких є орган, що здійснює державні виплати.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складати акти обстеження матеріально-побутових умов громадян та сім’ї.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надавати консультації громадянам в межах діяльності Сек</w:t>
      </w:r>
      <w:r>
        <w:rPr>
          <w:sz w:val="28"/>
          <w:szCs w:val="28"/>
          <w:lang w:val="uk-UA"/>
        </w:rPr>
        <w:t>тора та Відділу прийому громадян.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здійснювати розгляд звернень та скарг від громадян.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2.3.Сектор при виконанні покладених на нього завдань співпрацює із структурними підрозділами органів виконавчої влади різних рівнів, виконавчими органами міської ради, пі</w:t>
      </w:r>
      <w:r>
        <w:rPr>
          <w:sz w:val="28"/>
          <w:szCs w:val="28"/>
          <w:lang w:val="uk-UA"/>
        </w:rPr>
        <w:t>дприємствами, установами, організаціями міста, та  структурними підрозділами Департаменту.</w:t>
      </w:r>
    </w:p>
    <w:p w:rsidR="00000000" w:rsidRDefault="00DB45A8">
      <w:pPr>
        <w:pStyle w:val="af3"/>
        <w:jc w:val="both"/>
        <w:rPr>
          <w:sz w:val="28"/>
          <w:szCs w:val="28"/>
          <w:lang w:val="uk-UA"/>
        </w:rPr>
      </w:pPr>
    </w:p>
    <w:p w:rsidR="00000000" w:rsidRDefault="00DB45A8">
      <w:pPr>
        <w:pStyle w:val="af3"/>
        <w:jc w:val="center"/>
      </w:pPr>
      <w:r>
        <w:rPr>
          <w:b/>
          <w:sz w:val="28"/>
          <w:szCs w:val="28"/>
          <w:lang w:val="uk-UA"/>
        </w:rPr>
        <w:t>III. ПОВНОВАЖЕННЯ СЕКТОРУ</w:t>
      </w:r>
    </w:p>
    <w:p w:rsidR="00000000" w:rsidRDefault="00DB45A8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3.1.У межах своєї компетенції Сектор має право: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 Формувати запит в інформаційно-аналітичну платформу на відповідність повідомленої р</w:t>
      </w:r>
      <w:r>
        <w:rPr>
          <w:sz w:val="28"/>
          <w:szCs w:val="28"/>
          <w:lang w:val="uk-UA"/>
        </w:rPr>
        <w:t>еципієнтом інформації даним, що обробляється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стосовно нього в інформаційно-аналітичній платформі, та в режимі реального часу отримувати підтвердження відповідності наданої реципієнтом інформації вимогам законодавства, що впливають на визначення його права </w:t>
      </w:r>
      <w:r>
        <w:rPr>
          <w:sz w:val="28"/>
          <w:szCs w:val="28"/>
          <w:lang w:val="uk-UA"/>
        </w:rPr>
        <w:t xml:space="preserve">на отримання </w:t>
      </w:r>
      <w:r>
        <w:rPr>
          <w:sz w:val="28"/>
          <w:szCs w:val="28"/>
          <w:lang w:val="uk-UA"/>
        </w:rPr>
        <w:lastRenderedPageBreak/>
        <w:t>та розмір державних виплат, або рекомендацій щодо проведення додаткових перевірок  інформації, що містить невідповідність.</w:t>
      </w:r>
    </w:p>
    <w:p w:rsidR="00000000" w:rsidRPr="00DB45A8" w:rsidRDefault="00DB45A8">
      <w:pPr>
        <w:pStyle w:val="af3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3.1.2. Проводити додаткові перевірки інформації, наданої реципієнтами під час звернення за державними виплатами та опра</w:t>
      </w:r>
      <w:r>
        <w:rPr>
          <w:sz w:val="28"/>
          <w:szCs w:val="28"/>
          <w:lang w:val="uk-UA"/>
        </w:rPr>
        <w:t>цювання рекомендацій, наданий органом, що здійснює верифікацію та моніторинг державних виплат.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3.1.3. Надсилати запити для отримання інформації, що впливає на право реципієнта на отримання державних виплат.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3.1.4 Вносити результати опрацювання в програмно-</w:t>
      </w:r>
      <w:r>
        <w:rPr>
          <w:sz w:val="28"/>
          <w:szCs w:val="28"/>
          <w:lang w:val="uk-UA"/>
        </w:rPr>
        <w:t>технологічний комплекс «Обробка результатів верифікації».</w:t>
      </w:r>
    </w:p>
    <w:p w:rsidR="00000000" w:rsidRDefault="00DB45A8">
      <w:pPr>
        <w:pStyle w:val="af3"/>
        <w:ind w:firstLine="567"/>
        <w:jc w:val="both"/>
      </w:pPr>
      <w:r>
        <w:rPr>
          <w:rFonts w:eastAsia="Times New Roman"/>
          <w:sz w:val="28"/>
          <w:szCs w:val="28"/>
          <w:lang w:val="uk-UA"/>
        </w:rPr>
        <w:t>3.1.5 С</w:t>
      </w:r>
      <w:r>
        <w:rPr>
          <w:sz w:val="28"/>
          <w:szCs w:val="28"/>
          <w:lang w:val="uk-UA"/>
        </w:rPr>
        <w:t>кладання актів за підсумками опрацювання рекомендацій та додаткових перевірок з висновками щодо правильності призначення державних соціальних допомог.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 xml:space="preserve">3.1.6.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кладати  акти обстеження матеріа</w:t>
      </w:r>
      <w:r>
        <w:rPr>
          <w:sz w:val="28"/>
          <w:szCs w:val="28"/>
          <w:lang w:val="uk-UA"/>
        </w:rPr>
        <w:t>льно-побутових умов сім’ї.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3.1.7. Отримувати  письмові  пояснення  про доходи,  майновий  та сімейний стан, про персональні дані від реципієнта  та його членів сім’ї, які отримують державні соціальні допомоги, житлові субсидії  та пільги.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 xml:space="preserve">3.1.8. Усунення  </w:t>
      </w:r>
      <w:r>
        <w:rPr>
          <w:sz w:val="28"/>
          <w:szCs w:val="28"/>
          <w:lang w:val="uk-UA"/>
        </w:rPr>
        <w:t>даних у автоматизованих інформаційних системах, реєстрах, базах даних, володільцем та/або адміністратором яких є орган, що здійснює державні виплати.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3.1.9. Надавати  консультації, роз’яснення з питань надання державних соціальних допомог, житлових субсид</w:t>
      </w:r>
      <w:r>
        <w:rPr>
          <w:sz w:val="28"/>
          <w:szCs w:val="28"/>
          <w:lang w:val="uk-UA"/>
        </w:rPr>
        <w:t>ій, пільг.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3.1.10. Інформувати населення через засоби масової інформації з питань, що належать до компетенції Сектору.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3.1.11. Брати  участь у формуванні  бази даних про осіб, які одержують державну соціальну допомогу, житлові субсидії, пільги.</w:t>
      </w:r>
    </w:p>
    <w:p w:rsidR="00000000" w:rsidRDefault="00DB45A8">
      <w:pPr>
        <w:pStyle w:val="af3"/>
        <w:jc w:val="both"/>
      </w:pPr>
      <w:r>
        <w:rPr>
          <w:rFonts w:eastAsia="Times New Roman"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>.12. Здійснювати інші  повноваження, покладені  на Сектор  відповідно до чинного законодавства.</w:t>
      </w:r>
    </w:p>
    <w:p w:rsidR="00000000" w:rsidRDefault="00DB45A8">
      <w:pPr>
        <w:pStyle w:val="af3"/>
        <w:jc w:val="both"/>
        <w:rPr>
          <w:sz w:val="28"/>
          <w:szCs w:val="28"/>
          <w:lang w:val="uk-UA"/>
        </w:rPr>
      </w:pPr>
    </w:p>
    <w:p w:rsidR="00000000" w:rsidRDefault="00DB45A8">
      <w:pPr>
        <w:pStyle w:val="af3"/>
        <w:jc w:val="center"/>
      </w:pPr>
      <w:r>
        <w:rPr>
          <w:b/>
          <w:sz w:val="28"/>
          <w:szCs w:val="28"/>
          <w:lang w:val="uk-UA"/>
        </w:rPr>
        <w:t>IV. СЕКТОР МАЄ ПРАВО</w:t>
      </w:r>
    </w:p>
    <w:p w:rsidR="00000000" w:rsidRDefault="00DB45A8">
      <w:pPr>
        <w:pStyle w:val="af3"/>
        <w:jc w:val="center"/>
        <w:rPr>
          <w:b/>
          <w:sz w:val="28"/>
          <w:szCs w:val="28"/>
          <w:lang w:val="uk-UA"/>
        </w:rPr>
      </w:pP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4.1. Одержувати в установленому порядку від структурних підрозділів Департаменту, підприємств, установ та організацій усіх форм власності</w:t>
      </w:r>
      <w:r>
        <w:rPr>
          <w:sz w:val="28"/>
          <w:szCs w:val="28"/>
          <w:lang w:val="uk-UA"/>
        </w:rPr>
        <w:t xml:space="preserve">  інформацію, документи та інші матеріали, необхідні для виконання покладених на нього завдань і функцій.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4.2. Подавати заступнику директора, начальнику відділу пропозиції по організації роботи Сектору 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4.3. Залучати спеціалістів інших структурних підрозд</w:t>
      </w:r>
      <w:r>
        <w:rPr>
          <w:sz w:val="28"/>
          <w:szCs w:val="28"/>
          <w:lang w:val="uk-UA"/>
        </w:rPr>
        <w:t>ілів Департаменту для розгляду питань, розробки та здійснення заходів що належать до компетенції Сектору.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4.4. Інші права визначені нормативно-правовими та розпорядчими та локальними актами.</w:t>
      </w:r>
    </w:p>
    <w:p w:rsidR="00000000" w:rsidRDefault="00DB45A8">
      <w:pPr>
        <w:pStyle w:val="af3"/>
        <w:ind w:firstLine="567"/>
        <w:jc w:val="both"/>
        <w:rPr>
          <w:sz w:val="28"/>
          <w:szCs w:val="28"/>
          <w:lang w:val="uk-UA"/>
        </w:rPr>
      </w:pPr>
    </w:p>
    <w:p w:rsidR="00000000" w:rsidRDefault="00DB45A8">
      <w:pPr>
        <w:pStyle w:val="af3"/>
        <w:ind w:firstLine="567"/>
        <w:jc w:val="both"/>
        <w:rPr>
          <w:sz w:val="28"/>
          <w:szCs w:val="28"/>
          <w:lang w:val="uk-UA"/>
        </w:rPr>
      </w:pPr>
    </w:p>
    <w:p w:rsidR="00000000" w:rsidRDefault="00DB45A8">
      <w:pPr>
        <w:pStyle w:val="af3"/>
        <w:jc w:val="center"/>
      </w:pPr>
      <w:r>
        <w:rPr>
          <w:b/>
          <w:sz w:val="28"/>
          <w:szCs w:val="28"/>
          <w:lang w:val="uk-UA"/>
        </w:rPr>
        <w:t>V. КЕРІВНИЦТВО СЕКТОРОМ</w:t>
      </w:r>
    </w:p>
    <w:p w:rsidR="00000000" w:rsidRDefault="00DB45A8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5.1. Сектор очолює завідувач сектору.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5.2. Завідувач Сектору: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здійснює керівництво діяльністю Сектору;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несе персональну відповідальність за не виконання або неналежне виконання покладених на Сектор завдань, реалізацію його повноважень;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 xml:space="preserve">здійснює інші повноваження, покладені на нього відповідно </w:t>
      </w:r>
      <w:r>
        <w:rPr>
          <w:sz w:val="28"/>
          <w:szCs w:val="28"/>
          <w:lang w:val="uk-UA"/>
        </w:rPr>
        <w:t>до чинного законодавства.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5.3. Працівники Сектору діють в межах повноважень, визначених посадовими інструкціями, які затверджуються міським головою.</w:t>
      </w:r>
    </w:p>
    <w:p w:rsidR="00000000" w:rsidRDefault="00DB45A8">
      <w:pPr>
        <w:pStyle w:val="af3"/>
        <w:jc w:val="both"/>
        <w:rPr>
          <w:sz w:val="28"/>
          <w:szCs w:val="28"/>
          <w:lang w:val="uk-UA"/>
        </w:rPr>
      </w:pPr>
    </w:p>
    <w:p w:rsidR="00000000" w:rsidRDefault="00DB45A8">
      <w:pPr>
        <w:pStyle w:val="af3"/>
        <w:jc w:val="center"/>
      </w:pPr>
      <w:r>
        <w:rPr>
          <w:b/>
          <w:sz w:val="28"/>
          <w:szCs w:val="28"/>
          <w:lang w:val="uk-UA"/>
        </w:rPr>
        <w:t>VІ. ВІДПОВІДАЛЬНІСТЬ  СЕКТОРУ</w:t>
      </w:r>
    </w:p>
    <w:p w:rsidR="00000000" w:rsidRDefault="00DB45A8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6.1.  Працівники Сектору несуть відповідальність за неналежне виконання пок</w:t>
      </w:r>
      <w:r>
        <w:rPr>
          <w:sz w:val="28"/>
          <w:szCs w:val="28"/>
          <w:lang w:val="uk-UA"/>
        </w:rPr>
        <w:t>ладених на Сектор даним положенням повноважень у порядку, передбаченому чинним законодавством України. Повноваження Сектору розподіляються між завідувачем та спеціалістами Сектору, закріплюються у посадових інструкціях.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6.2.  За порушення трудової та вико</w:t>
      </w:r>
      <w:r>
        <w:rPr>
          <w:sz w:val="28"/>
          <w:szCs w:val="28"/>
          <w:lang w:val="uk-UA"/>
        </w:rPr>
        <w:t>навчої дисципліни працівники Сектору притягуються до відповідальності згідно з чинним законодавством України.</w:t>
      </w:r>
    </w:p>
    <w:p w:rsidR="00000000" w:rsidRDefault="00DB45A8">
      <w:pPr>
        <w:pStyle w:val="af3"/>
        <w:jc w:val="both"/>
        <w:rPr>
          <w:sz w:val="28"/>
          <w:szCs w:val="28"/>
          <w:lang w:val="uk-UA"/>
        </w:rPr>
      </w:pPr>
    </w:p>
    <w:p w:rsidR="00000000" w:rsidRDefault="00DB45A8">
      <w:pPr>
        <w:pStyle w:val="af3"/>
        <w:jc w:val="center"/>
      </w:pPr>
      <w:r>
        <w:rPr>
          <w:b/>
          <w:sz w:val="28"/>
          <w:szCs w:val="28"/>
          <w:lang w:val="uk-UA"/>
        </w:rPr>
        <w:t>VІІ. ЗАКЛЮЧНІ ПОЛОЖЕННЯ</w:t>
      </w:r>
    </w:p>
    <w:p w:rsidR="00000000" w:rsidRDefault="00DB45A8">
      <w:pPr>
        <w:pStyle w:val="af3"/>
        <w:jc w:val="both"/>
        <w:rPr>
          <w:b/>
          <w:sz w:val="28"/>
          <w:szCs w:val="28"/>
          <w:lang w:val="uk-UA"/>
        </w:rPr>
      </w:pP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7.1. Припинення діяльності Сектору здійснюється у встановленому порядку відповідно до вимог чинного законодавства Україн</w:t>
      </w:r>
      <w:r>
        <w:rPr>
          <w:sz w:val="28"/>
          <w:szCs w:val="28"/>
          <w:lang w:val="uk-UA"/>
        </w:rPr>
        <w:t>и.</w:t>
      </w:r>
    </w:p>
    <w:p w:rsidR="00000000" w:rsidRDefault="00DB45A8">
      <w:pPr>
        <w:pStyle w:val="af3"/>
        <w:ind w:firstLine="567"/>
        <w:jc w:val="both"/>
      </w:pPr>
      <w:r>
        <w:rPr>
          <w:sz w:val="28"/>
          <w:szCs w:val="28"/>
          <w:lang w:val="uk-UA"/>
        </w:rPr>
        <w:t>7.2. Зміни і доповнення до цього Положення вносяться в порядку, встановленому для його прийняття.</w:t>
      </w:r>
    </w:p>
    <w:p w:rsidR="00000000" w:rsidRDefault="00DB45A8">
      <w:pPr>
        <w:pStyle w:val="af3"/>
        <w:ind w:firstLine="567"/>
        <w:jc w:val="both"/>
        <w:rPr>
          <w:sz w:val="28"/>
          <w:szCs w:val="28"/>
          <w:lang w:val="uk-UA"/>
        </w:rPr>
      </w:pPr>
    </w:p>
    <w:p w:rsidR="00000000" w:rsidRDefault="00DB45A8">
      <w:pPr>
        <w:pStyle w:val="af3"/>
        <w:rPr>
          <w:b/>
          <w:sz w:val="28"/>
          <w:szCs w:val="28"/>
          <w:lang w:val="uk-UA"/>
        </w:rPr>
      </w:pPr>
    </w:p>
    <w:p w:rsidR="00000000" w:rsidRDefault="00DB45A8">
      <w:pPr>
        <w:pStyle w:val="af3"/>
        <w:jc w:val="both"/>
      </w:pPr>
      <w:r>
        <w:rPr>
          <w:sz w:val="28"/>
          <w:szCs w:val="28"/>
          <w:lang w:val="uk-UA"/>
        </w:rPr>
        <w:t>Заступник міського голови,</w:t>
      </w:r>
    </w:p>
    <w:p w:rsidR="00000000" w:rsidRDefault="00DB45A8">
      <w:pPr>
        <w:pStyle w:val="af3"/>
        <w:jc w:val="both"/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Юрій  ВЕРБИЧ</w:t>
      </w:r>
    </w:p>
    <w:sectPr w:rsidR="00000000">
      <w:headerReference w:type="default" r:id="rId7"/>
      <w:headerReference w:type="first" r:id="rId8"/>
      <w:pgSz w:w="11906" w:h="16838"/>
      <w:pgMar w:top="911" w:right="567" w:bottom="1701" w:left="1701" w:header="855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45A8">
      <w:r>
        <w:separator/>
      </w:r>
    </w:p>
  </w:endnote>
  <w:endnote w:type="continuationSeparator" w:id="0">
    <w:p w:rsidR="00000000" w:rsidRDefault="00DB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45A8">
      <w:r>
        <w:separator/>
      </w:r>
    </w:p>
  </w:footnote>
  <w:footnote w:type="continuationSeparator" w:id="0">
    <w:p w:rsidR="00000000" w:rsidRDefault="00DB4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45A8">
    <w:pPr>
      <w:pStyle w:val="ae"/>
      <w:rPr>
        <w:sz w:val="20"/>
        <w:szCs w:val="20"/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61925"/>
              <wp:effectExtent l="8890" t="635" r="381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B45A8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2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" stroked="f">
              <v:fill opacity="0"/>
              <v:textbox inset="1pt,1pt,1pt,1pt">
                <w:txbxContent>
                  <w:p w:rsidR="00000000" w:rsidRDefault="00DB45A8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000000" w:rsidRDefault="00DB45A8">
    <w:pPr>
      <w:tabs>
        <w:tab w:val="left" w:pos="540"/>
      </w:tabs>
      <w:spacing w:before="40" w:after="40"/>
      <w:jc w:val="right"/>
    </w:pPr>
    <w:r>
      <w:rPr>
        <w:bCs/>
        <w:sz w:val="28"/>
        <w:szCs w:val="28"/>
        <w:lang w:val="uk-UA"/>
      </w:rPr>
      <w:t>Продовження додатка 6</w:t>
    </w:r>
  </w:p>
  <w:p w:rsidR="00000000" w:rsidRDefault="00DB45A8">
    <w:pPr>
      <w:tabs>
        <w:tab w:val="left" w:pos="540"/>
      </w:tabs>
      <w:spacing w:before="40" w:after="40"/>
      <w:jc w:val="right"/>
    </w:pPr>
    <w:r>
      <w:rPr>
        <w:rFonts w:eastAsia="Times New Roman"/>
        <w:sz w:val="20"/>
        <w:szCs w:val="20"/>
        <w:lang w:val="uk-U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45A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A8"/>
    <w:rsid w:val="00D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WW8Num1z0">
    <w:name w:val="WW8Num1z0"/>
    <w:rPr>
      <w:rFonts w:hint="default"/>
    </w:rPr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5">
    <w:name w:val="Цитата1"/>
    <w:basedOn w:val="a"/>
    <w:pPr>
      <w:shd w:val="clear" w:color="auto" w:fill="FFFFFF"/>
      <w:tabs>
        <w:tab w:val="center" w:pos="-284"/>
      </w:tabs>
      <w:suppressAutoHyphens w:val="0"/>
      <w:ind w:left="709" w:right="14" w:hanging="383"/>
      <w:jc w:val="both"/>
    </w:pPr>
    <w:rPr>
      <w:rFonts w:eastAsia="Times New Roman"/>
      <w:sz w:val="28"/>
      <w:szCs w:val="20"/>
      <w:lang w:val="uk-UA"/>
    </w:rPr>
  </w:style>
  <w:style w:type="paragraph" w:customStyle="1" w:styleId="af1">
    <w:name w:val="Вміст таблиці"/>
    <w:basedOn w:val="a"/>
    <w:pPr>
      <w:suppressLineNumbers/>
    </w:pPr>
  </w:style>
  <w:style w:type="paragraph" w:customStyle="1" w:styleId="af2">
    <w:name w:val="Заголовок таблиці"/>
    <w:basedOn w:val="af1"/>
    <w:pPr>
      <w:jc w:val="center"/>
    </w:pPr>
    <w:rPr>
      <w:b/>
      <w:bCs/>
    </w:rPr>
  </w:style>
  <w:style w:type="paragraph" w:styleId="af3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4">
    <w:name w:val="Вміст рам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WW8Num1z0">
    <w:name w:val="WW8Num1z0"/>
    <w:rPr>
      <w:rFonts w:hint="default"/>
    </w:rPr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1z1">
    <w:name w:val="WW8Num31z1"/>
    <w:rPr>
      <w:lang w:val="uk-UA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St31z0">
    <w:name w:val="WW8NumSt31z0"/>
    <w:rPr>
      <w:rFonts w:ascii="Times New Roman" w:hAnsi="Times New Roman" w:cs="Times New Roman"/>
      <w:lang w:val="uk-UA"/>
    </w:rPr>
  </w:style>
  <w:style w:type="character" w:customStyle="1" w:styleId="WW8NumSt32z0">
    <w:name w:val="WW8NumSt32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pacing w:val="20"/>
      <w:sz w:val="22"/>
      <w:szCs w:val="22"/>
    </w:rPr>
  </w:style>
  <w:style w:type="character" w:customStyle="1" w:styleId="a3">
    <w:name w:val="Символ нумерации"/>
  </w:style>
  <w:style w:type="character" w:customStyle="1" w:styleId="FontStyle18">
    <w:name w:val="Font Style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pacing w:val="30"/>
      <w:sz w:val="22"/>
      <w:szCs w:val="22"/>
    </w:rPr>
  </w:style>
  <w:style w:type="character" w:styleId="a4">
    <w:name w:val="page number"/>
    <w:basedOn w:val="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5040"/>
      <w:jc w:val="both"/>
    </w:pPr>
    <w:rPr>
      <w:rFonts w:ascii="Arial" w:eastAsia="Times New Roman" w:hAnsi="Arial" w:cs="Arial"/>
      <w:color w:val="000000"/>
      <w:sz w:val="28"/>
      <w:szCs w:val="28"/>
      <w:lang w:val="uk-U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pPr>
      <w:widowControl w:val="0"/>
      <w:autoSpaceDE w:val="0"/>
      <w:spacing w:line="326" w:lineRule="exact"/>
      <w:ind w:firstLine="566"/>
      <w:jc w:val="both"/>
    </w:pPr>
    <w:rPr>
      <w:rFonts w:eastAsia="Times New Roman"/>
      <w:lang w:val="uk-U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spacing w:line="324" w:lineRule="exact"/>
      <w:jc w:val="center"/>
    </w:pPr>
    <w:rPr>
      <w:rFonts w:eastAsia="Times New Roman"/>
      <w:lang w:val="uk-UA"/>
    </w:rPr>
  </w:style>
  <w:style w:type="paragraph" w:styleId="ac">
    <w:name w:val="Normal (Web)"/>
    <w:basedOn w:val="a"/>
    <w:pPr>
      <w:suppressAutoHyphens w:val="0"/>
      <w:spacing w:before="280" w:after="28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819"/>
        <w:tab w:val="right" w:pos="9639"/>
      </w:tabs>
    </w:pPr>
  </w:style>
  <w:style w:type="paragraph" w:customStyle="1" w:styleId="af">
    <w:name w:val="Содержимое врезки"/>
    <w:basedOn w:val="a6"/>
  </w:style>
  <w:style w:type="paragraph" w:styleId="af0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15">
    <w:name w:val="Цитата1"/>
    <w:basedOn w:val="a"/>
    <w:pPr>
      <w:shd w:val="clear" w:color="auto" w:fill="FFFFFF"/>
      <w:tabs>
        <w:tab w:val="center" w:pos="-284"/>
      </w:tabs>
      <w:suppressAutoHyphens w:val="0"/>
      <w:ind w:left="709" w:right="14" w:hanging="383"/>
      <w:jc w:val="both"/>
    </w:pPr>
    <w:rPr>
      <w:rFonts w:eastAsia="Times New Roman"/>
      <w:sz w:val="28"/>
      <w:szCs w:val="20"/>
      <w:lang w:val="uk-UA"/>
    </w:rPr>
  </w:style>
  <w:style w:type="paragraph" w:customStyle="1" w:styleId="af1">
    <w:name w:val="Вміст таблиці"/>
    <w:basedOn w:val="a"/>
    <w:pPr>
      <w:suppressLineNumbers/>
    </w:pPr>
  </w:style>
  <w:style w:type="paragraph" w:customStyle="1" w:styleId="af2">
    <w:name w:val="Заголовок таблиці"/>
    <w:basedOn w:val="af1"/>
    <w:pPr>
      <w:jc w:val="center"/>
    </w:pPr>
    <w:rPr>
      <w:b/>
      <w:bCs/>
    </w:rPr>
  </w:style>
  <w:style w:type="paragraph" w:styleId="af3">
    <w:name w:val="No Spacing"/>
    <w:qFormat/>
    <w:pPr>
      <w:suppressAutoHyphens/>
    </w:pPr>
    <w:rPr>
      <w:rFonts w:eastAsia="SimSun"/>
      <w:sz w:val="24"/>
      <w:szCs w:val="24"/>
      <w:lang w:val="ru-RU" w:eastAsia="zh-CN"/>
    </w:rPr>
  </w:style>
  <w:style w:type="paragraph" w:customStyle="1" w:styleId="af4">
    <w:name w:val="Вміст рам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4845</Words>
  <Characters>2763</Characters>
  <Application>Microsoft Office Word</Application>
  <DocSecurity>0</DocSecurity>
  <Lines>23</Lines>
  <Paragraphs>15</Paragraphs>
  <ScaleCrop>false</ScaleCrop>
  <Company>ДСП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k2031</cp:lastModifiedBy>
  <cp:revision>2</cp:revision>
  <cp:lastPrinted>1995-11-21T15:41:00Z</cp:lastPrinted>
  <dcterms:created xsi:type="dcterms:W3CDTF">2022-12-19T14:05:00Z</dcterms:created>
  <dcterms:modified xsi:type="dcterms:W3CDTF">2022-12-19T14:05:00Z</dcterms:modified>
</cp:coreProperties>
</file>