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338E" w:rsidRDefault="00A957B7">
      <w:pPr>
        <w:jc w:val="center"/>
      </w:pPr>
      <w:r>
        <w:rPr>
          <w:b/>
          <w:bCs/>
          <w:sz w:val="30"/>
          <w:szCs w:val="30"/>
        </w:rPr>
        <w:t>К</w:t>
      </w:r>
      <w:r>
        <w:rPr>
          <w:b/>
          <w:bCs/>
          <w:sz w:val="30"/>
          <w:szCs w:val="30"/>
        </w:rPr>
        <w:t>омісі</w:t>
      </w:r>
      <w:r>
        <w:rPr>
          <w:b/>
          <w:bCs/>
          <w:sz w:val="30"/>
          <w:szCs w:val="30"/>
        </w:rPr>
        <w:t>я</w:t>
      </w:r>
      <w:r>
        <w:rPr>
          <w:b/>
          <w:bCs/>
          <w:sz w:val="30"/>
          <w:szCs w:val="30"/>
        </w:rPr>
        <w:t xml:space="preserve"> </w:t>
      </w:r>
      <w:r>
        <w:rPr>
          <w:rStyle w:val="FontStyle13"/>
          <w:b/>
          <w:bCs/>
          <w:sz w:val="30"/>
          <w:szCs w:val="30"/>
          <w:shd w:val="clear" w:color="auto" w:fill="FFFFFF"/>
          <w:lang w:eastAsia="uk-UA"/>
        </w:rPr>
        <w:t>щодо</w:t>
      </w:r>
      <w:r>
        <w:rPr>
          <w:rStyle w:val="FontStyle13"/>
          <w:rFonts w:eastAsia="Times New Roman"/>
          <w:b/>
          <w:bCs/>
          <w:sz w:val="30"/>
          <w:szCs w:val="30"/>
          <w:shd w:val="clear" w:color="auto" w:fill="FFFFFF"/>
        </w:rPr>
        <w:t xml:space="preserve"> розгляду заяв внутрішньо переміщених осіб, які захищали незалежність, суверенітет та територіальну цілісність України про призначення грошової компенсації</w:t>
      </w:r>
    </w:p>
    <w:p w:rsidR="000B338E" w:rsidRDefault="000B338E">
      <w:pPr>
        <w:jc w:val="center"/>
      </w:pP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</w:rPr>
      </w:pPr>
      <w:r>
        <w:rPr>
          <w:rStyle w:val="FontStyle13"/>
          <w:rFonts w:eastAsia="Times New Roman"/>
          <w:bCs/>
          <w:color w:val="000000"/>
          <w:sz w:val="28"/>
          <w:szCs w:val="28"/>
        </w:rPr>
        <w:t xml:space="preserve">Заяву про призначення грошової компенсації внутрішньо переміщена особа, яка захищала </w:t>
      </w:r>
      <w:r>
        <w:rPr>
          <w:rStyle w:val="FontStyle13"/>
          <w:rFonts w:eastAsia="Times New Roman"/>
          <w:bCs/>
          <w:color w:val="000000"/>
          <w:sz w:val="28"/>
          <w:szCs w:val="28"/>
        </w:rPr>
        <w:t>незалежність, суверенітет та територіальну цілісність України, або її законний представник особисто подає органу соціального захисту населення за місцем перебування на квартирному обліку.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</w:rPr>
      </w:pPr>
      <w:r>
        <w:rPr>
          <w:color w:val="000000"/>
          <w:sz w:val="28"/>
        </w:rPr>
        <w:t>До повноважень комісії належить: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проведення перевірки: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0" w:name="n303"/>
      <w:bookmarkEnd w:id="0"/>
      <w:r>
        <w:rPr>
          <w:color w:val="000000"/>
          <w:sz w:val="28"/>
          <w:szCs w:val="28"/>
        </w:rPr>
        <w:t>- наявності у</w:t>
      </w:r>
      <w:r>
        <w:rPr>
          <w:color w:val="000000"/>
          <w:sz w:val="28"/>
          <w:szCs w:val="28"/>
        </w:rPr>
        <w:t xml:space="preserve"> внутрішньо переміщеної особи статусу учасника бойових дій, встановленого відповідно до </w:t>
      </w:r>
      <w:hyperlink r:id="rId7" w:anchor="_blank" w:history="1">
        <w:r>
          <w:rPr>
            <w:color w:val="000000"/>
            <w:sz w:val="28"/>
            <w:szCs w:val="28"/>
          </w:rPr>
          <w:t>пунктів 19</w:t>
        </w:r>
      </w:hyperlink>
      <w:r>
        <w:rPr>
          <w:color w:val="000000"/>
          <w:sz w:val="28"/>
          <w:szCs w:val="28"/>
        </w:rPr>
        <w:t> -</w:t>
      </w:r>
      <w:hyperlink r:id="rId8" w:anchor="_blank" w:history="1">
        <w:r>
          <w:rPr>
            <w:color w:val="000000"/>
            <w:sz w:val="28"/>
            <w:szCs w:val="28"/>
          </w:rPr>
          <w:t>2</w:t>
        </w:r>
      </w:hyperlink>
      <w:r>
        <w:rPr>
          <w:color w:val="000000"/>
          <w:sz w:val="28"/>
          <w:szCs w:val="28"/>
        </w:rPr>
        <w:t>1 частини першо</w:t>
      </w:r>
      <w:r>
        <w:rPr>
          <w:color w:val="000000"/>
          <w:sz w:val="28"/>
          <w:szCs w:val="28"/>
        </w:rPr>
        <w:t>ї статті 6 Закону України “Про статус ветеранів війни, гарантії їх соціального захисту” (далі - статус учасника бойових дій), або статусу особи з інвалідністю внаслідок війни, встановленого відповідно до </w:t>
      </w:r>
      <w:hyperlink r:id="rId9" w:anchor="_blank" w:history="1">
        <w:r>
          <w:rPr>
            <w:color w:val="000000"/>
            <w:sz w:val="28"/>
            <w:szCs w:val="28"/>
          </w:rPr>
          <w:t>пунктів 11-14</w:t>
        </w:r>
      </w:hyperlink>
      <w:r>
        <w:rPr>
          <w:color w:val="000000"/>
          <w:sz w:val="28"/>
          <w:szCs w:val="28"/>
        </w:rPr>
        <w:t> частини другої статті 7 зазначеного Закону (далі - статус особи з інвалідністю внаслідок війни);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1" w:name="n304"/>
      <w:bookmarkEnd w:id="1"/>
      <w:r>
        <w:rPr>
          <w:color w:val="000000"/>
          <w:sz w:val="28"/>
          <w:szCs w:val="28"/>
        </w:rPr>
        <w:t>- перебування внутрішньо переміщеної особи на обліку в базі даних;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2" w:name="n305"/>
      <w:bookmarkEnd w:id="2"/>
      <w:r>
        <w:rPr>
          <w:color w:val="000000"/>
          <w:sz w:val="28"/>
          <w:szCs w:val="28"/>
        </w:rPr>
        <w:t>- складу сім’ї внутрішньо переміщеної особи;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3" w:name="n306"/>
      <w:bookmarkEnd w:id="3"/>
      <w:r>
        <w:rPr>
          <w:color w:val="000000"/>
          <w:sz w:val="28"/>
          <w:szCs w:val="28"/>
        </w:rPr>
        <w:t>- факту прожива</w:t>
      </w:r>
      <w:r>
        <w:rPr>
          <w:color w:val="000000"/>
          <w:sz w:val="28"/>
          <w:szCs w:val="28"/>
        </w:rPr>
        <w:t>ння не менш як один рік у межах м. Києва або в межах однієї області згідно з відомостями бази даних за умови, що зміна місця проживання протягом року в межах однієї області не призводить до збільшення розміру компенсації відповідно до </w:t>
      </w:r>
      <w:hyperlink r:id="rId10" w:anchor="n366" w:history="1">
        <w:r>
          <w:rPr>
            <w:color w:val="000000"/>
            <w:sz w:val="28"/>
            <w:szCs w:val="28"/>
          </w:rPr>
          <w:t>пунктів 16</w:t>
        </w:r>
      </w:hyperlink>
      <w:r>
        <w:rPr>
          <w:color w:val="000000"/>
          <w:sz w:val="28"/>
          <w:szCs w:val="28"/>
        </w:rPr>
        <w:t> і </w:t>
      </w:r>
      <w:hyperlink r:id="rId11" w:anchor="n375" w:history="1">
        <w:r>
          <w:rPr>
            <w:color w:val="000000"/>
            <w:sz w:val="28"/>
            <w:szCs w:val="28"/>
          </w:rPr>
          <w:t>17</w:t>
        </w:r>
      </w:hyperlink>
      <w:r>
        <w:rPr>
          <w:color w:val="000000"/>
          <w:sz w:val="28"/>
          <w:szCs w:val="28"/>
        </w:rPr>
        <w:t> цього Порядку;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4" w:name="n307"/>
      <w:bookmarkEnd w:id="4"/>
      <w:r>
        <w:rPr>
          <w:color w:val="000000"/>
          <w:sz w:val="28"/>
          <w:szCs w:val="28"/>
        </w:rPr>
        <w:t>- наявності документів про взяття на квартирний облік внутрішньо переміщеної особи та членів її сім’ї;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5" w:name="n308"/>
      <w:bookmarkEnd w:id="5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факту спільного проживання членів сім’ї внутрішньо переміщеної особи, на яких нараховується грошова компенсація;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6" w:name="n309"/>
      <w:bookmarkEnd w:id="6"/>
      <w:r>
        <w:rPr>
          <w:color w:val="000000"/>
          <w:sz w:val="28"/>
          <w:szCs w:val="28"/>
        </w:rPr>
        <w:t>- наявності майнових прав на незакінчене будівництвом житло чи права власності на житлове приміщення внутрішньо переміщеної особи та всіх член</w:t>
      </w:r>
      <w:r>
        <w:rPr>
          <w:color w:val="000000"/>
          <w:sz w:val="28"/>
          <w:szCs w:val="28"/>
        </w:rPr>
        <w:t>ів її сім’ї, на яких нараховується грошова компенсація, яке розташоване в населених пунктах на підконтрольній Україні території (крім житлового приміщення, яке зруйноване або стало непридатним для проживання внаслідок збройної агресії Російської Федерації,</w:t>
      </w:r>
      <w:r>
        <w:rPr>
          <w:color w:val="000000"/>
          <w:sz w:val="28"/>
          <w:szCs w:val="28"/>
        </w:rPr>
        <w:t xml:space="preserve"> що підтверджується актом обстеження технічного стану житлового приміщення (будинку, квартири), або факту відчуження такого майна протягом п’яти років, що передують даті подання заяви про призначення грошової компенсації;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7" w:name="n310"/>
      <w:bookmarkEnd w:id="7"/>
      <w:r>
        <w:rPr>
          <w:color w:val="000000"/>
          <w:sz w:val="28"/>
          <w:szCs w:val="28"/>
        </w:rPr>
        <w:t xml:space="preserve">- факту надання раніше внутрішньо </w:t>
      </w:r>
      <w:r>
        <w:rPr>
          <w:color w:val="000000"/>
          <w:sz w:val="28"/>
          <w:szCs w:val="28"/>
        </w:rPr>
        <w:t xml:space="preserve">переміщеній особі або членам її сім’ї житла на підконтрольній Україні території чи виплату грошової компенсації за належні для отримання жилі приміщення за рахунок бюджетних та </w:t>
      </w:r>
      <w:r>
        <w:rPr>
          <w:color w:val="000000"/>
          <w:sz w:val="28"/>
          <w:szCs w:val="28"/>
        </w:rPr>
        <w:lastRenderedPageBreak/>
        <w:t>благодійних коштів, залучених коштів суб</w:t>
      </w:r>
      <w:r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єктів господарювання, інших джерел, не</w:t>
      </w:r>
      <w:r>
        <w:rPr>
          <w:color w:val="000000"/>
          <w:sz w:val="28"/>
          <w:szCs w:val="28"/>
        </w:rPr>
        <w:t xml:space="preserve"> заборонених законодавством</w:t>
      </w:r>
      <w:r>
        <w:rPr>
          <w:color w:val="000000"/>
          <w:sz w:val="28"/>
          <w:szCs w:val="28"/>
        </w:rPr>
        <w:t>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8" w:name="n311"/>
      <w:bookmarkEnd w:id="8"/>
      <w:r>
        <w:rPr>
          <w:color w:val="000000"/>
          <w:sz w:val="28"/>
          <w:szCs w:val="28"/>
        </w:rPr>
        <w:t>прийняття рішення про призначення або відмову в призначенні грошової компенсації;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9" w:name="n312"/>
      <w:bookmarkEnd w:id="9"/>
      <w:r>
        <w:rPr>
          <w:color w:val="000000"/>
          <w:sz w:val="28"/>
          <w:szCs w:val="28"/>
        </w:rPr>
        <w:t xml:space="preserve">перегляд рішення про призначення грошової компенсації за нововиявленими обставинами (у разі змін у майновому стані, у складі сім’ї, зміни </w:t>
      </w:r>
      <w:r>
        <w:rPr>
          <w:color w:val="000000"/>
          <w:sz w:val="28"/>
          <w:szCs w:val="28"/>
        </w:rPr>
        <w:t>показників опосередкованої вартості спорудження житла, зміни місця проживання, у зв’язку з втратою статусу учасника бойових дій або особи з інвалідністю внаслідок війни, скасування дії довідки про взяття на облік внутрішньо переміщених осіб, зняття з кварт</w:t>
      </w:r>
      <w:r>
        <w:rPr>
          <w:color w:val="000000"/>
          <w:sz w:val="28"/>
          <w:szCs w:val="28"/>
        </w:rPr>
        <w:t>ирного обліку тощо);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10" w:name="n313"/>
      <w:bookmarkEnd w:id="10"/>
      <w:r>
        <w:rPr>
          <w:color w:val="000000"/>
          <w:sz w:val="28"/>
          <w:szCs w:val="28"/>
        </w:rPr>
        <w:t>скасування попереднього рішення за нововиявленими обставинами;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11" w:name="n314"/>
      <w:bookmarkEnd w:id="11"/>
      <w:r>
        <w:rPr>
          <w:color w:val="000000"/>
          <w:sz w:val="28"/>
          <w:szCs w:val="28"/>
        </w:rPr>
        <w:t>прийняття рішення про відмову у виплаті грошової компенсації;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12" w:name="n315"/>
      <w:bookmarkEnd w:id="12"/>
      <w:r>
        <w:rPr>
          <w:color w:val="000000"/>
          <w:sz w:val="28"/>
          <w:szCs w:val="28"/>
        </w:rPr>
        <w:t>визначення розміру грошової компенсації;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  <w:szCs w:val="28"/>
        </w:rPr>
      </w:pPr>
      <w:bookmarkStart w:id="13" w:name="n316"/>
      <w:bookmarkEnd w:id="13"/>
      <w:r>
        <w:rPr>
          <w:color w:val="000000"/>
          <w:sz w:val="28"/>
          <w:szCs w:val="28"/>
        </w:rPr>
        <w:t>визначення суми коштів, яка підлягає поверненню, якщо внутрішньо пере</w:t>
      </w:r>
      <w:r>
        <w:rPr>
          <w:color w:val="000000"/>
          <w:sz w:val="28"/>
          <w:szCs w:val="28"/>
        </w:rPr>
        <w:t>міщена особа або її законний представник не повідомили органу соціального захисту населення про зміни у майновому стані, у складі сім’ї, зміну місця проживання, втрату статусу учасника бойових дій або особи з інвалідністю внаслідок війни, скасування дії до</w:t>
      </w:r>
      <w:r>
        <w:rPr>
          <w:color w:val="000000"/>
          <w:sz w:val="28"/>
          <w:szCs w:val="28"/>
        </w:rPr>
        <w:t>відки про взяття на облік внутрішньо переміщених осіб, зняття з квартирного обліку;</w:t>
      </w:r>
    </w:p>
    <w:p w:rsidR="000B338E" w:rsidRDefault="00A957B7">
      <w:pPr>
        <w:pStyle w:val="a6"/>
        <w:widowControl/>
        <w:spacing w:after="150"/>
        <w:ind w:firstLine="450"/>
        <w:jc w:val="both"/>
        <w:rPr>
          <w:color w:val="000000"/>
          <w:sz w:val="28"/>
        </w:rPr>
      </w:pPr>
      <w:bookmarkStart w:id="14" w:name="n317"/>
      <w:bookmarkEnd w:id="14"/>
      <w:r>
        <w:rPr>
          <w:color w:val="000000"/>
          <w:sz w:val="28"/>
          <w:szCs w:val="28"/>
        </w:rPr>
        <w:t>прийняття рішення про виплату грошової компенсації члену сім’ї внутрішньо переміщеної особи, на якого розраховано грошову компенсацію під час призначення грошової компенсац</w:t>
      </w:r>
      <w:r>
        <w:rPr>
          <w:color w:val="000000"/>
          <w:sz w:val="28"/>
          <w:szCs w:val="28"/>
        </w:rPr>
        <w:t>ії внутрішньо переміщеній особі (далі - уповноважений член сім’ї), у зв’язку із смертю внутрішньо переміщеної особи, якій призначено грошову компенсацію та не виплачено.</w:t>
      </w:r>
    </w:p>
    <w:p w:rsidR="000B338E" w:rsidRDefault="000B338E">
      <w:pPr>
        <w:pStyle w:val="a6"/>
        <w:widowControl/>
        <w:spacing w:after="0"/>
        <w:ind w:firstLine="450"/>
        <w:jc w:val="both"/>
        <w:rPr>
          <w:color w:val="000000"/>
          <w:sz w:val="28"/>
        </w:rPr>
      </w:pPr>
      <w:bookmarkStart w:id="15" w:name="_GoBack"/>
      <w:bookmarkEnd w:id="15"/>
    </w:p>
    <w:sectPr w:rsidR="000B338E">
      <w:headerReference w:type="default" r:id="rId12"/>
      <w:pgSz w:w="11906" w:h="16838"/>
      <w:pgMar w:top="1271" w:right="567" w:bottom="1134" w:left="1967" w:header="570" w:footer="0" w:gutter="0"/>
      <w:pgNumType w:start="4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57B7">
      <w:r>
        <w:separator/>
      </w:r>
    </w:p>
  </w:endnote>
  <w:endnote w:type="continuationSeparator" w:id="0">
    <w:p w:rsidR="00000000" w:rsidRDefault="00A9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57B7">
      <w:r>
        <w:separator/>
      </w:r>
    </w:p>
  </w:footnote>
  <w:footnote w:type="continuationSeparator" w:id="0">
    <w:p w:rsidR="00000000" w:rsidRDefault="00A9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8E" w:rsidRDefault="000B338E">
    <w:pPr>
      <w:pStyle w:val="ae"/>
      <w:jc w:val="center"/>
    </w:pPr>
  </w:p>
  <w:p w:rsidR="000B338E" w:rsidRDefault="000B338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8E"/>
    <w:rsid w:val="000B338E"/>
    <w:rsid w:val="00A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WW8Num1z0">
    <w:name w:val="WW8Num1z0"/>
    <w:qFormat/>
    <w:rPr>
      <w:rFonts w:ascii="Symbol" w:hAnsi="Symbol" w:cs="Symbol"/>
      <w:color w:val="000000"/>
      <w:szCs w:val="24"/>
      <w:lang w:val="ru-RU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1"/>
    <w:qFormat/>
    <w:rPr>
      <w:rFonts w:eastAsia="Andale Sans UI"/>
      <w:kern w:val="2"/>
      <w:sz w:val="24"/>
      <w:szCs w:val="24"/>
    </w:rPr>
  </w:style>
  <w:style w:type="character" w:customStyle="1" w:styleId="a4">
    <w:name w:val="Нижний колонтитул Знак"/>
    <w:basedOn w:val="1"/>
    <w:qFormat/>
    <w:rPr>
      <w:rFonts w:eastAsia="Andale Sans UI"/>
      <w:kern w:val="2"/>
      <w:sz w:val="24"/>
      <w:szCs w:val="24"/>
    </w:rPr>
  </w:style>
  <w:style w:type="character" w:customStyle="1" w:styleId="WW8Num7z0">
    <w:name w:val="WW8Num7z0"/>
    <w:qFormat/>
    <w:rPr>
      <w:rFonts w:ascii="Symbol" w:hAnsi="Symbol" w:cs="Symbol"/>
      <w:color w:val="000000"/>
      <w:szCs w:val="24"/>
      <w:lang w:val="ru-RU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pacing w:val="1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5">
    <w:name w:val="Указатель5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paragraph" w:customStyle="1" w:styleId="LO-Normal1">
    <w:name w:val="LO-Normal1"/>
    <w:qFormat/>
    <w:rPr>
      <w:sz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WW8Num1z0">
    <w:name w:val="WW8Num1z0"/>
    <w:qFormat/>
    <w:rPr>
      <w:rFonts w:ascii="Symbol" w:hAnsi="Symbol" w:cs="Symbol"/>
      <w:color w:val="000000"/>
      <w:szCs w:val="24"/>
      <w:lang w:val="ru-RU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basedOn w:val="1"/>
    <w:qFormat/>
    <w:rPr>
      <w:rFonts w:eastAsia="Andale Sans UI"/>
      <w:kern w:val="2"/>
      <w:sz w:val="24"/>
      <w:szCs w:val="24"/>
    </w:rPr>
  </w:style>
  <w:style w:type="character" w:customStyle="1" w:styleId="a4">
    <w:name w:val="Нижний колонтитул Знак"/>
    <w:basedOn w:val="1"/>
    <w:qFormat/>
    <w:rPr>
      <w:rFonts w:eastAsia="Andale Sans UI"/>
      <w:kern w:val="2"/>
      <w:sz w:val="24"/>
      <w:szCs w:val="24"/>
    </w:rPr>
  </w:style>
  <w:style w:type="character" w:customStyle="1" w:styleId="WW8Num7z0">
    <w:name w:val="WW8Num7z0"/>
    <w:qFormat/>
    <w:rPr>
      <w:rFonts w:ascii="Symbol" w:hAnsi="Symbol" w:cs="Symbol"/>
      <w:color w:val="000000"/>
      <w:szCs w:val="24"/>
      <w:lang w:val="ru-RU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pacing w:val="1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5">
    <w:name w:val="Указатель5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paragraph" w:customStyle="1" w:styleId="LO-Normal1">
    <w:name w:val="LO-Normal1"/>
    <w:qFormat/>
    <w:rPr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551-12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80-2018-&#1087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280-2018-&#108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2712</Words>
  <Characters>1546</Characters>
  <Application>Microsoft Office Word</Application>
  <DocSecurity>0</DocSecurity>
  <Lines>12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2021-09-27T15:30:00Z</cp:lastPrinted>
  <dcterms:created xsi:type="dcterms:W3CDTF">2021-11-16T09:56:00Z</dcterms:created>
  <dcterms:modified xsi:type="dcterms:W3CDTF">2022-12-28T08:12:00Z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